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9"/>
        <w:gridCol w:w="3687"/>
        <w:gridCol w:w="2552"/>
      </w:tblGrid>
      <w:tr w:rsidR="00D6356C" w:rsidRPr="007A26B4" w14:paraId="0FB81B12" w14:textId="77777777" w:rsidTr="00D6356C">
        <w:trPr>
          <w:trHeight w:val="440"/>
        </w:trPr>
        <w:tc>
          <w:tcPr>
            <w:tcW w:w="12616" w:type="dxa"/>
            <w:gridSpan w:val="2"/>
            <w:shd w:val="clear" w:color="auto" w:fill="DEEAF6" w:themeFill="accent1" w:themeFillTint="33"/>
            <w:vAlign w:val="center"/>
          </w:tcPr>
          <w:p w14:paraId="4B0ECB82" w14:textId="77777777" w:rsidR="00D6356C" w:rsidRPr="007A26B4" w:rsidRDefault="00D6356C" w:rsidP="00D6356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ПРИНЦИП 11.</w:t>
            </w:r>
            <w:r w:rsidRPr="007A26B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  <w:tc>
          <w:tcPr>
            <w:tcW w:w="2552" w:type="dxa"/>
            <w:shd w:val="clear" w:color="auto" w:fill="DEEAF6" w:themeFill="accent1" w:themeFillTint="33"/>
            <w:vAlign w:val="center"/>
          </w:tcPr>
          <w:p w14:paraId="11A20575" w14:textId="77777777" w:rsidR="00D6356C" w:rsidRPr="00D6356C" w:rsidRDefault="00D6356C" w:rsidP="00D6356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ТЕТЕВЕН</w:t>
            </w:r>
          </w:p>
        </w:tc>
      </w:tr>
      <w:tr w:rsidR="00D6356C" w:rsidRPr="007A26B4" w14:paraId="4CFB6FC9" w14:textId="77777777" w:rsidTr="00D6356C">
        <w:tc>
          <w:tcPr>
            <w:tcW w:w="8929" w:type="dxa"/>
            <w:shd w:val="clear" w:color="auto" w:fill="FFFFFF" w:themeFill="background1"/>
            <w:vAlign w:val="center"/>
          </w:tcPr>
          <w:p w14:paraId="24F3328B" w14:textId="77777777" w:rsidR="00D6356C" w:rsidRPr="007A26B4" w:rsidRDefault="00D6356C" w:rsidP="00D6356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0E6D065" w14:textId="77777777" w:rsidR="00D6356C" w:rsidRPr="007A26B4" w:rsidRDefault="00D6356C" w:rsidP="00D6356C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51D57A9F" w14:textId="77777777" w:rsidR="00D6356C" w:rsidRPr="007A26B4" w:rsidRDefault="00D6356C" w:rsidP="00D6356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5CE0DFE" w14:textId="36B4F8CF" w:rsidR="00D6356C" w:rsidRPr="007A26B4" w:rsidRDefault="002C7490" w:rsidP="00D6356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 на независимия експерт</w:t>
            </w:r>
          </w:p>
        </w:tc>
      </w:tr>
      <w:tr w:rsidR="00D6356C" w:rsidRPr="007A26B4" w14:paraId="400DB08A" w14:textId="77777777" w:rsidTr="00D6356C">
        <w:tc>
          <w:tcPr>
            <w:tcW w:w="15168" w:type="dxa"/>
            <w:gridSpan w:val="3"/>
            <w:shd w:val="clear" w:color="auto" w:fill="FBE4D5" w:themeFill="accent2" w:themeFillTint="33"/>
            <w:vAlign w:val="center"/>
          </w:tcPr>
          <w:p w14:paraId="64FC59CB" w14:textId="77777777" w:rsidR="00D6356C" w:rsidRPr="007A26B4" w:rsidRDefault="00D6356C" w:rsidP="00D6356C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 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D6356C" w:rsidRPr="007A26B4" w14:paraId="100A7754" w14:textId="77777777" w:rsidTr="00D6356C">
        <w:tc>
          <w:tcPr>
            <w:tcW w:w="8929" w:type="dxa"/>
            <w:shd w:val="clear" w:color="auto" w:fill="FFFFFF" w:themeFill="background1"/>
            <w:vAlign w:val="center"/>
          </w:tcPr>
          <w:p w14:paraId="683A7845" w14:textId="77777777" w:rsidR="00D6356C" w:rsidRPr="007A26B4" w:rsidRDefault="00D6356C" w:rsidP="00D6356C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  <w:tc>
          <w:tcPr>
            <w:tcW w:w="3687" w:type="dxa"/>
            <w:shd w:val="clear" w:color="auto" w:fill="FFFFFF" w:themeFill="background1"/>
            <w:vAlign w:val="center"/>
          </w:tcPr>
          <w:p w14:paraId="2624DC9D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целенасочена политика за включване на антидискриминационни мерки и защита на всички граждани от социално изключване, като това е интегрирано във всички основни направления на местната политика. </w:t>
            </w:r>
          </w:p>
          <w:p w14:paraId="6F303BF0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Най-съществени доказателства за изпълнението на този индикатор:</w:t>
            </w:r>
          </w:p>
          <w:p w14:paraId="28785C47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Общински план за действие (2024–2027 г.) за изпълнение на Националната стратегия за равенство, приобщаване и участие на ромите 2021–2030 г. – това е основополагащ стратегически документ, в който са заложени конкретни цели и мерки за:</w:t>
            </w:r>
          </w:p>
          <w:p w14:paraId="2C78CD76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равен достъп до образование, заетост, здравеопазване и жилищни условия;</w:t>
            </w:r>
          </w:p>
          <w:p w14:paraId="316EEE27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ангажиране на ромската общност и други уязвими групи в процесите на вземане на решения;</w:t>
            </w:r>
          </w:p>
          <w:p w14:paraId="07B3102F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борба с дискриминацията и стереотипите.</w:t>
            </w:r>
          </w:p>
          <w:p w14:paraId="7B808F85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Прилагане на Механизма за лична помощ, съгласно Закона за личната помощ, като средство за равнопоставен достъп до социални услуги за лица с увреждания, което гарантира участие в обществения живот.</w:t>
            </w:r>
          </w:p>
          <w:p w14:paraId="0E0EE737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Общински план за младежта 2024 г. и съпътстващите инициативи показват ангажираност към приобщаване на младите хора, включително такива от уязвими групи, и изграждане на общностно чувство.</w:t>
            </w:r>
          </w:p>
          <w:p w14:paraId="6CC8F33B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Наредба за финансово подпомагане на спортни сдружения показва недопускане на дискриминация по отношение на достъпа до общински ресурси и насърчава равен старт за всички участници.</w:t>
            </w:r>
          </w:p>
          <w:p w14:paraId="74281EDC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Проекти в социалната сфера, реализирани през 2023 г., показват, че социалната политика на общината обхваща широк кръг от нуждаещи се – възрастни хора, хора с увреждания, семейства в риск.</w:t>
            </w:r>
          </w:p>
          <w:p w14:paraId="4234C4A6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7D68EF57" w14:textId="77777777" w:rsidR="00D6356C" w:rsidRPr="008573D0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 xml:space="preserve">Всички тези дейности са публично достъпни, документирани и допринасят за изграждането на община, в която всеки гражданин, 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lastRenderedPageBreak/>
              <w:t>независимо от произход, възраст, пол, етнос или здравословно състояние, има гарантирано място и подкрепа в обществения живот.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3DB2D10B" w14:textId="4FC15D9C" w:rsidR="00D6356C" w:rsidRPr="002C7490" w:rsidRDefault="002C7490" w:rsidP="002C7490">
            <w:pPr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2C7490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D6356C" w:rsidRPr="007A26B4" w14:paraId="5089E797" w14:textId="77777777" w:rsidTr="00D6356C">
        <w:tc>
          <w:tcPr>
            <w:tcW w:w="15168" w:type="dxa"/>
            <w:gridSpan w:val="3"/>
            <w:shd w:val="clear" w:color="auto" w:fill="FBE4D5" w:themeFill="accent2" w:themeFillTint="33"/>
            <w:vAlign w:val="center"/>
          </w:tcPr>
          <w:p w14:paraId="7C908D4E" w14:textId="77777777" w:rsidR="00D6356C" w:rsidRPr="007A26B4" w:rsidRDefault="00D6356C" w:rsidP="00D6356C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D6356C" w:rsidRPr="007A26B4" w14:paraId="5D4EF904" w14:textId="77777777" w:rsidTr="00D6356C">
        <w:tc>
          <w:tcPr>
            <w:tcW w:w="8929" w:type="dxa"/>
            <w:shd w:val="clear" w:color="auto" w:fill="FFFFFF" w:themeFill="background1"/>
            <w:vAlign w:val="center"/>
          </w:tcPr>
          <w:p w14:paraId="5586683E" w14:textId="77777777" w:rsidR="00D6356C" w:rsidRPr="007A26B4" w:rsidRDefault="00D6356C" w:rsidP="00D6356C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  <w:tc>
          <w:tcPr>
            <w:tcW w:w="3687" w:type="dxa"/>
            <w:shd w:val="clear" w:color="auto" w:fill="FFFFFF" w:themeFill="background1"/>
            <w:vAlign w:val="center"/>
          </w:tcPr>
          <w:p w14:paraId="2059EAF1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Община Тетевен демонстрира последователна ангажираност с насърчаването на многообразието, социалното сближаване и партньорството с гражданското общество, като активно предоставя ресурси, логистична и финансова подкрепа за реализиране на дейности с обществена значимост. Конкретни проявления на тази политика включват:</w:t>
            </w:r>
          </w:p>
          <w:p w14:paraId="3496DFEA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годишни сесии за финансово подпомагане на НПО и спортни клубове, при ясни критерии и публична процедура за кандидатстване. Това подпомага дейността на множество неправителствени организации, включително в сферата на:</w:t>
            </w:r>
          </w:p>
          <w:p w14:paraId="1B18EEF9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културното многообразие;</w:t>
            </w:r>
          </w:p>
          <w:p w14:paraId="26948D91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социалната интеграция;</w:t>
            </w:r>
          </w:p>
          <w:p w14:paraId="2C07B59D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работа с деца и младежи в риск;</w:t>
            </w:r>
          </w:p>
          <w:p w14:paraId="3ECF1BE1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застъпничество за права на хора с увреждания.</w:t>
            </w:r>
          </w:p>
          <w:p w14:paraId="2A6D6A65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42976E7F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Подкрепа за културни и граждански инициативи, включително събития, фестивали и образователни кампании, организирани в партньорство с читалища, етнически и религиозни общности. Така се укрепва местната идентичност и създава среда на взаимно уважение.</w:t>
            </w:r>
          </w:p>
          <w:p w14:paraId="4676D4C1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Формализирани форми на сътрудничество с НПО и социални партньори, вкл. в областта на социалните услуги и изпълнението на проекти по европейски програми – например, в сферата на равенството между половете, ромското включване и достъпа до заетост.</w:t>
            </w:r>
          </w:p>
          <w:p w14:paraId="57CCC90D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Публично достъпна информация за възможности за партньорство, както и участие на представители на гражданския сектор в работни групи и обществени консултации по политики и програми.</w:t>
            </w:r>
          </w:p>
          <w:p w14:paraId="6649E8DD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Диалогичност от страна на общинското ръководство, която създава доверие и устойчиво взаимодействие между администрацията и местните социални структури.</w:t>
            </w:r>
          </w:p>
          <w:p w14:paraId="3C774AC4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477C0AEF" w14:textId="77777777" w:rsidR="00D6356C" w:rsidRPr="008573D0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lastRenderedPageBreak/>
              <w:t>С оглед на гореизложеното, може да се заключи, че община Тетевен не само формално насърчава многообразието и приобщаването, но и реално инвестира в гражданския сектор, като го признава за ключов партньор в развитието на местната общност.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7CBC4278" w14:textId="51A6BDFE" w:rsidR="00D6356C" w:rsidRPr="007A26B4" w:rsidRDefault="002C7490" w:rsidP="002C7490">
            <w:pPr>
              <w:jc w:val="center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C7490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D6356C" w:rsidRPr="007A26B4" w14:paraId="4958AF16" w14:textId="77777777" w:rsidTr="00D6356C">
        <w:tc>
          <w:tcPr>
            <w:tcW w:w="15168" w:type="dxa"/>
            <w:gridSpan w:val="3"/>
            <w:shd w:val="clear" w:color="auto" w:fill="FBE4D5" w:themeFill="accent2" w:themeFillTint="33"/>
            <w:vAlign w:val="center"/>
          </w:tcPr>
          <w:p w14:paraId="39B3FF5F" w14:textId="77777777" w:rsidR="00D6356C" w:rsidRPr="007A26B4" w:rsidRDefault="00D6356C" w:rsidP="00D6356C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ДЕЙНОСТ 3</w:t>
            </w:r>
            <w:r>
              <w:rPr>
                <w:rFonts w:ascii="Times New Roman" w:eastAsia="Calibri" w:hAnsi="Times New Roman" w:cs="Times New Roman"/>
                <w:b/>
                <w:iCs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Насърчава се социалното единство и интеграцията на необлагодетелстваните райони.</w:t>
            </w:r>
          </w:p>
        </w:tc>
      </w:tr>
      <w:tr w:rsidR="00D6356C" w:rsidRPr="007A26B4" w14:paraId="714FECF2" w14:textId="77777777" w:rsidTr="00D6356C">
        <w:tc>
          <w:tcPr>
            <w:tcW w:w="8929" w:type="dxa"/>
            <w:shd w:val="clear" w:color="auto" w:fill="FFFFFF" w:themeFill="background1"/>
            <w:vAlign w:val="center"/>
          </w:tcPr>
          <w:p w14:paraId="6A41B515" w14:textId="77777777" w:rsidR="00D6356C" w:rsidRPr="007A26B4" w:rsidRDefault="00D6356C" w:rsidP="00D6356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7A26B4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  <w:tc>
          <w:tcPr>
            <w:tcW w:w="3687" w:type="dxa"/>
            <w:shd w:val="clear" w:color="auto" w:fill="FFFFFF" w:themeFill="background1"/>
            <w:vAlign w:val="center"/>
          </w:tcPr>
          <w:p w14:paraId="75CCDB84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Община Тетевен е въвела и прилага структуриран и целенасочен подход за насърчаване на равенството между половете, както по отношение на собствената си администрация, така и в сферата на обществените политики. По-конкретно:</w:t>
            </w:r>
          </w:p>
          <w:p w14:paraId="4F0E3E94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Вътрешните правила за човешките ресурси и етичния кодекс на служителите в администрацията забраняват всякаква форма на дискриминация, включително на база пол. Назначенията и повишенията се извършват при строго спазване на принципа на равнопоставеност.</w:t>
            </w:r>
          </w:p>
          <w:p w14:paraId="708395B2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 xml:space="preserve">Съгласно анализи, проведени в рамките на плановете за равнопоставеност, няма индикации за неравномерно третиране по пол при достъпа до длъжности, ниво на 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lastRenderedPageBreak/>
              <w:t>заплащане или участие в ръководни звена.</w:t>
            </w:r>
          </w:p>
          <w:p w14:paraId="0312B704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При участие в проекти по ОП „Добро управление“, Норвежкия механизъм и други програми, общината залага конкретни мерки за равнопоставеност и преодоляване на стереотипи, включително чрез:</w:t>
            </w:r>
          </w:p>
          <w:p w14:paraId="0003D6EB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кампании за информираност;</w:t>
            </w:r>
          </w:p>
          <w:p w14:paraId="2E58AD45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обучения и срещи с местната общност;</w:t>
            </w:r>
          </w:p>
          <w:p w14:paraId="1AFC0DE0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насърчаване на участието на жени в обществения живот.</w:t>
            </w:r>
          </w:p>
          <w:p w14:paraId="52ACFCF3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Общинският план за развитие съдържа хоризонтална цел, свързана с равенството между половете и равен достъп до ресурси, възможности и услуги за мъже и жени, включително в селските и отдалечени райони.</w:t>
            </w:r>
          </w:p>
          <w:p w14:paraId="5170E76B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Общината активно подпомага дейността на организации, ангажирани с правата на жените и децата, вкл. чрез съвместни дейности и финансиране по местни програми.</w:t>
            </w:r>
          </w:p>
          <w:p w14:paraId="736AD859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64FABE6C" w14:textId="77777777" w:rsidR="00D6356C" w:rsidRPr="008573D0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 xml:space="preserve">Следователно, политиката на община Тетевен по този индикатор не се изчерпва с формално съответствие, а отразява практическа ангажираност с гарантиране на 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lastRenderedPageBreak/>
              <w:t>равни възможности, недопускане на дискриминация и насърчаване на приобщаваща среда, в съответствие с европейските стандарти за местно самоуправление.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02682B40" w14:textId="437D742E" w:rsidR="00D6356C" w:rsidRPr="007A26B4" w:rsidRDefault="002C7490" w:rsidP="002C7490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C7490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D6356C" w:rsidRPr="007A26B4" w14:paraId="7986F9A5" w14:textId="77777777" w:rsidTr="00D6356C">
        <w:tc>
          <w:tcPr>
            <w:tcW w:w="8929" w:type="dxa"/>
            <w:shd w:val="clear" w:color="auto" w:fill="FFFFFF" w:themeFill="background1"/>
            <w:vAlign w:val="center"/>
          </w:tcPr>
          <w:p w14:paraId="2241F0B0" w14:textId="77777777" w:rsidR="00D6356C" w:rsidRPr="007A26B4" w:rsidRDefault="00D6356C" w:rsidP="00D6356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 Общината е приела отделни планове за интеграция на конкретни социално уязвими групи.</w:t>
            </w:r>
          </w:p>
        </w:tc>
        <w:tc>
          <w:tcPr>
            <w:tcW w:w="3687" w:type="dxa"/>
            <w:shd w:val="clear" w:color="auto" w:fill="FFFFFF" w:themeFill="background1"/>
            <w:vAlign w:val="center"/>
          </w:tcPr>
          <w:p w14:paraId="56BB4237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Община Тетевен прилага последователна и добре структурирана политика за насърчаване на социалната кохезия, интеграция и равен достъп до услуги за всички групи от населението, включително уязвими, 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тнически и религиозни общности. 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Най-важните доказателства включват:</w:t>
            </w:r>
          </w:p>
          <w:p w14:paraId="68E80D3F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Изпълнение на План за действие за интеграция на ромите (2024–2027), който съдържа конкретни дейности и индикатори за резултатност в области като:</w:t>
            </w:r>
          </w:p>
          <w:p w14:paraId="29511EDA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образование (мотивиране за редовно посещение на училище, работа с родители);</w:t>
            </w:r>
          </w:p>
          <w:p w14:paraId="2819596E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здравеопазване (мобилни здравни екипи, здравни медиатори);</w:t>
            </w:r>
          </w:p>
          <w:p w14:paraId="6F888855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достъп до социални услуги и жилища.</w:t>
            </w:r>
          </w:p>
          <w:p w14:paraId="63E307A2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 xml:space="preserve">Общината реализира местни инициативи и проекти в партньорство с НПО и религиозни организации, насочени към 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lastRenderedPageBreak/>
              <w:t>приобщаване на малцинствени и уязвими групи. Сред тях са:</w:t>
            </w:r>
          </w:p>
          <w:p w14:paraId="17A8BB47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езикови и културни образователни програми;</w:t>
            </w:r>
          </w:p>
          <w:p w14:paraId="3F255C13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социални услуги за деца и възрастни в риск;</w:t>
            </w:r>
          </w:p>
          <w:p w14:paraId="174A111B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диалог с местни общности чрез съвместни форуми и обществени събития.</w:t>
            </w:r>
          </w:p>
          <w:p w14:paraId="0F7F083C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В рамките на програмите по ОПРЧР и ПРСР, общината участва в проекти, които имат ясно изразен компонент за интеграция и равен достъп, напр. „Топъл обяд“, „Патронажна грижа“ и „Местни партньорства за социална интеграция“.</w:t>
            </w:r>
          </w:p>
          <w:p w14:paraId="176BADF5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Общината гарантира безпрепятствен достъп до административни и социални услуги, включително чрез:</w:t>
            </w:r>
          </w:p>
          <w:p w14:paraId="18FD4069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мултиезична информация;</w:t>
            </w:r>
          </w:p>
          <w:p w14:paraId="469CBCA8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осигурени преводачи при нужда;</w:t>
            </w:r>
          </w:p>
          <w:p w14:paraId="05FE61EF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обучени служители, работещи с внимание към културните различия.</w:t>
            </w:r>
          </w:p>
          <w:p w14:paraId="0AFFCCB1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Публичните пространства и общинската инфраструктура се изграждат и адаптират така, че да бъдат достъпни за хора с увреждания и други групи в неравностойно положение.</w:t>
            </w:r>
          </w:p>
          <w:p w14:paraId="125C64FD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7D9B0AB5" w14:textId="77777777" w:rsidR="00D6356C" w:rsidRPr="008573D0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Тези практики демонстрират, че община Тетевен подхожда стратегически към изграждането на приобщаваща и сплотена общност, в която се зачитат културното многообразие, религиозната свобода и достойнството на всеки гражданин.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3FF6C8ED" w14:textId="0A498E82" w:rsidR="00D6356C" w:rsidRPr="007A26B4" w:rsidRDefault="002C7490" w:rsidP="002C7490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C7490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D6356C" w:rsidRPr="007A26B4" w14:paraId="692E9064" w14:textId="77777777" w:rsidTr="00D6356C">
        <w:tc>
          <w:tcPr>
            <w:tcW w:w="15168" w:type="dxa"/>
            <w:gridSpan w:val="3"/>
            <w:shd w:val="clear" w:color="auto" w:fill="FBE4D5" w:themeFill="accent2" w:themeFillTint="33"/>
            <w:vAlign w:val="center"/>
          </w:tcPr>
          <w:p w14:paraId="4A242F12" w14:textId="77777777" w:rsidR="00D6356C" w:rsidRPr="007A26B4" w:rsidRDefault="00D6356C" w:rsidP="00D6356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4: Гарантира се достъпът до основни услуги, особено за най-непривилегированите части от населението.</w:t>
            </w:r>
          </w:p>
        </w:tc>
      </w:tr>
      <w:tr w:rsidR="00D6356C" w:rsidRPr="007A26B4" w14:paraId="44D8CFD6" w14:textId="77777777" w:rsidTr="00D6356C">
        <w:tc>
          <w:tcPr>
            <w:tcW w:w="8929" w:type="dxa"/>
            <w:shd w:val="clear" w:color="auto" w:fill="FFFFFF" w:themeFill="background1"/>
            <w:vAlign w:val="center"/>
          </w:tcPr>
          <w:p w14:paraId="3A6637C7" w14:textId="77777777" w:rsidR="00D6356C" w:rsidRPr="007A26B4" w:rsidRDefault="00D6356C" w:rsidP="00D6356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5. 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  <w:tc>
          <w:tcPr>
            <w:tcW w:w="3687" w:type="dxa"/>
            <w:shd w:val="clear" w:color="auto" w:fill="FFFFFF" w:themeFill="background1"/>
            <w:vAlign w:val="center"/>
          </w:tcPr>
          <w:p w14:paraId="7E7692E6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Община Тетевен прилага активни политики и мерки за подобряване на социалната мобилност, като се фокусира върху преодоляване на бариери, които възпрепятстват отделни групи от населението да реализират своите възможности. Най-съществени аспекти в тази насока:</w:t>
            </w:r>
          </w:p>
          <w:p w14:paraId="25EE77F1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Стипендии и стимули за деца и младежи от социално слаби семейства, включително роми, с цел задържане в училище и повишаване на резултатите. Общината съдейства и при осигуряване на учебни пособия, униформи и транспорт до учебните заведения.</w:t>
            </w:r>
          </w:p>
          <w:p w14:paraId="487C3217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 xml:space="preserve">Реализация на програми по заетост като „Младежка заетост“, „Заетост за теб“ и „Подкрепа за уязвими групи“, които предвиждат временна или 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lastRenderedPageBreak/>
              <w:t>дългосрочна заетост в общински звена и социални услуги.</w:t>
            </w:r>
          </w:p>
          <w:p w14:paraId="5F9A7884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Центрове за обществена подкрепа и социално включване, които предоставят:</w:t>
            </w:r>
          </w:p>
          <w:p w14:paraId="440E49D4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професионална ориентация;</w:t>
            </w:r>
          </w:p>
          <w:p w14:paraId="733316BD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индивидуално консултиране;</w:t>
            </w:r>
          </w:p>
          <w:p w14:paraId="09FC50DE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съдействие при търсене на работа и изготвяне на документи за кандидатстване.</w:t>
            </w:r>
          </w:p>
          <w:p w14:paraId="2FB70009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В рамките на проекти с европейско финансиране, общината е развила механизми за индивидуален подход към бенефициенти – напр. при услуги за възрастни и хора с увреждания, както и семейства с нисък доход.</w:t>
            </w:r>
          </w:p>
          <w:p w14:paraId="1A891344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8B12B2">
              <w:rPr>
                <w:rFonts w:ascii="Times New Roman" w:eastAsia="Calibri" w:hAnsi="Times New Roman" w:cs="Times New Roman"/>
                <w:lang w:val="bg-BG"/>
              </w:rPr>
              <w:t>Интегриран подход в плановете за развитие – социалната мобилност е призната като хоризонтална цел, отразена в местните стратегии за:</w:t>
            </w:r>
          </w:p>
          <w:p w14:paraId="17B4E1CF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социални услуги;</w:t>
            </w:r>
          </w:p>
          <w:p w14:paraId="11478E54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образование;</w:t>
            </w:r>
          </w:p>
          <w:p w14:paraId="012BF4FA" w14:textId="77777777" w:rsidR="00D6356C" w:rsidRPr="008B12B2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младежка политика;</w:t>
            </w:r>
          </w:p>
          <w:p w14:paraId="0E61C0BD" w14:textId="77777777" w:rsidR="00D6356C" w:rsidRPr="008573D0" w:rsidRDefault="00D6356C" w:rsidP="00D635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B12B2">
              <w:rPr>
                <w:rFonts w:ascii="Times New Roman" w:eastAsia="Calibri" w:hAnsi="Times New Roman" w:cs="Times New Roman"/>
                <w:lang w:val="bg-BG"/>
              </w:rPr>
              <w:t>– з</w:t>
            </w:r>
            <w:r>
              <w:rPr>
                <w:rFonts w:ascii="Times New Roman" w:eastAsia="Calibri" w:hAnsi="Times New Roman" w:cs="Times New Roman"/>
                <w:lang w:val="bg-BG"/>
              </w:rPr>
              <w:t>аетост и икономическо развитие.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572BC2B0" w14:textId="0ECA7002" w:rsidR="00D6356C" w:rsidRPr="007A26B4" w:rsidRDefault="002C7490" w:rsidP="002C7490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C7490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D6356C" w:rsidRPr="007A26B4" w14:paraId="5C8AFD03" w14:textId="77777777" w:rsidTr="00D6356C">
        <w:tc>
          <w:tcPr>
            <w:tcW w:w="8929" w:type="dxa"/>
            <w:shd w:val="clear" w:color="auto" w:fill="E2EFD9" w:themeFill="accent6" w:themeFillTint="33"/>
            <w:vAlign w:val="center"/>
          </w:tcPr>
          <w:p w14:paraId="4CAA2A7F" w14:textId="77777777" w:rsidR="00D6356C" w:rsidRPr="007A26B4" w:rsidRDefault="00D6356C" w:rsidP="00D6356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72D173D" w14:textId="77777777" w:rsidR="00D6356C" w:rsidRPr="007A26B4" w:rsidRDefault="00D6356C" w:rsidP="00D6356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11:</w:t>
            </w:r>
          </w:p>
          <w:p w14:paraId="57E1557A" w14:textId="77777777" w:rsidR="00D6356C" w:rsidRPr="007A26B4" w:rsidRDefault="00D6356C" w:rsidP="00D6356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9" w:type="dxa"/>
            <w:gridSpan w:val="2"/>
            <w:shd w:val="clear" w:color="auto" w:fill="E2EFD9" w:themeFill="accent6" w:themeFillTint="33"/>
            <w:vAlign w:val="center"/>
          </w:tcPr>
          <w:p w14:paraId="7A990CBF" w14:textId="77777777" w:rsidR="00D6356C" w:rsidRPr="007A26B4" w:rsidRDefault="00D6356C" w:rsidP="00D6356C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B1AC9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14:paraId="5B193F38" w14:textId="77777777" w:rsidR="00246FD8" w:rsidRDefault="00246FD8"/>
    <w:sectPr w:rsidR="00246FD8" w:rsidSect="00B54B2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873A9" w14:textId="77777777" w:rsidR="00A92D0C" w:rsidRDefault="00A92D0C" w:rsidP="007A277D">
      <w:pPr>
        <w:spacing w:after="0" w:line="240" w:lineRule="auto"/>
      </w:pPr>
      <w:r>
        <w:separator/>
      </w:r>
    </w:p>
  </w:endnote>
  <w:endnote w:type="continuationSeparator" w:id="0">
    <w:p w14:paraId="4CDDA10C" w14:textId="77777777" w:rsidR="00A92D0C" w:rsidRDefault="00A92D0C" w:rsidP="007A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B2C00" w14:textId="77777777" w:rsidR="00A92D0C" w:rsidRDefault="00A92D0C" w:rsidP="007A277D">
      <w:pPr>
        <w:spacing w:after="0" w:line="240" w:lineRule="auto"/>
      </w:pPr>
      <w:r>
        <w:separator/>
      </w:r>
    </w:p>
  </w:footnote>
  <w:footnote w:type="continuationSeparator" w:id="0">
    <w:p w14:paraId="7CB1203A" w14:textId="77777777" w:rsidR="00A92D0C" w:rsidRDefault="00A92D0C" w:rsidP="007A2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A1D24" w14:textId="77777777" w:rsidR="007A277D" w:rsidRPr="00C25E62" w:rsidRDefault="007A277D" w:rsidP="007A277D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11</w:t>
    </w:r>
  </w:p>
  <w:p w14:paraId="5CECB1E3" w14:textId="77777777" w:rsidR="007A277D" w:rsidRDefault="007A27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B21"/>
    <w:rsid w:val="00246FD8"/>
    <w:rsid w:val="002C7490"/>
    <w:rsid w:val="003054DD"/>
    <w:rsid w:val="00325DC0"/>
    <w:rsid w:val="004B6648"/>
    <w:rsid w:val="00771959"/>
    <w:rsid w:val="007A26B4"/>
    <w:rsid w:val="007A277D"/>
    <w:rsid w:val="007B5BA0"/>
    <w:rsid w:val="008A5051"/>
    <w:rsid w:val="008D3147"/>
    <w:rsid w:val="009B6211"/>
    <w:rsid w:val="009D60C9"/>
    <w:rsid w:val="00A92D0C"/>
    <w:rsid w:val="00B54B21"/>
    <w:rsid w:val="00C56170"/>
    <w:rsid w:val="00C81E40"/>
    <w:rsid w:val="00D40615"/>
    <w:rsid w:val="00D6356C"/>
    <w:rsid w:val="00E53786"/>
    <w:rsid w:val="00F06563"/>
    <w:rsid w:val="00FF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E9BF1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77D"/>
  </w:style>
  <w:style w:type="paragraph" w:styleId="Footer">
    <w:name w:val="footer"/>
    <w:basedOn w:val="Normal"/>
    <w:link w:val="Foot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1503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10</cp:revision>
  <dcterms:created xsi:type="dcterms:W3CDTF">2022-07-05T11:30:00Z</dcterms:created>
  <dcterms:modified xsi:type="dcterms:W3CDTF">2025-06-19T06:33:00Z</dcterms:modified>
</cp:coreProperties>
</file>